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22. edycja Programu Kariera Polskiej Rady Biznesu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Program Kariera Polskiej Rady Biznesu ogólnokrajowy program płatnych staży w różnych firmach, który jest największą i najstarszą tego typu inicjatywą w Polsce. W bieżącej edycji blisko 45 najlepszych krajowych i międzynarodowych spółek oferuje prawie 115 staży w 14 miastach i miejscowościach: w Gdańsku, Janowie Podl., Kańczudze, Kędzierzynie-Koźlu, Lublinie, Łebie, Łodzi, Pieńkowie, Poznaniu, Radomiu, Sopocie, Toruniu, Warszawie i Wrocławiu. W niektórych firmach przewidziana jest także praca hybrydowa.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W Programie Kariera w jednym miejscu znajdą oferty płatnych praktyk osoby planujące karierę w obszarach takich jak: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HR i kadry,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media, marketing, reklama i PR,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i programowanie,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prawo,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dane i analiza,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inżynieria i branże techniczne,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sprzedaż,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zakupy (procurement),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logistyka,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zarządzanie produktami (product management),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administracja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finanse, rachunkowość i księgowość.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Większość staży odbywa się w czasie wakacji, ale terminy można dostosować do preferencji uczestników. Rekrutacja rusza od pierwszego dnia naboru, więc niektóre oferty mogą zamknąć się już na samym początku, dlatego warto aplikować jak najszybciej.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Zależnie od firmy i stanowiska, stażyści otrzymają wynagrodzenie od 4700 zł do 8300 zł miesięcznie. Program Kariera oferuje staże zarówno dla osób bez doświadczenia, jak i tych z wcześniejszą praktyką. Co trzeci uczestnik Programu kontynuuje współpracę z firmą po zakończeniu stażu.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Organizatorzy zachęcają firmy, by dawały młodym ludziom możliwość bezpośredniej pracy z osobami faktycznie zarządzającymi przedsiębiorstwem lub działem. Poza tym stażyści mogą liczyć na indywidualną opiekę i przemyślany plan praktyk. Jakość staży weryfikują sami uczestnicy, oceniając firmę, która ich zatrudniła, w corocznym badaniu satysfakcji.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Patronaty honorowe nad 22. edycją Programu Kariera objęli Minister Nauki i Szkolnictwa Wyższego oraz Minister Rozwoju i Technologii. </w:t>
      </w:r>
    </w:p>
    <w:p w:rsidR="00000000" w:rsidDel="00000000" w:rsidP="00000000" w:rsidRDefault="00000000" w:rsidRPr="00000000" w14:paraId="00000014">
      <w:pPr>
        <w:shd w:fill="ffffff" w:val="clear"/>
        <w:spacing w:after="0" w:before="0" w:lineRule="auto"/>
        <w:rPr/>
      </w:pPr>
      <w:r w:rsidDel="00000000" w:rsidR="00000000" w:rsidRPr="00000000">
        <w:rPr>
          <w:rtl w:val="0"/>
        </w:rPr>
        <w:t xml:space="preserve">w tym roku partnerami Programu Kariera zostało wiele stowarzyszeń polskich studentów za granicą. Są to: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Francji: APGEF,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Holandii: Eastern European Students Association oraz Polish Students Society Maastricht,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Wielkiej Brytanii: Cambridge University Polish Society oraz Federacja Polskich Stowarzyszeń Studenckich w Wielkiej Brytanii,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USA: Columbia Club of Poland oraz The Polish Club of Berkeley.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 2025 roku rekrutacja na staże trwa od 1 marca do 15 maja. Zgłoszenia są rozpatrywane na bieżąco – od pierwszego dnia naboru. Pracodawcy mogą wcześniej zamknąć rekrutację. Warto szybko wysłać CV.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​​</w:t>
      </w:r>
      <w:r w:rsidDel="00000000" w:rsidR="00000000" w:rsidRPr="00000000">
        <w:rPr>
          <w:b w:val="1"/>
          <w:rtl w:val="0"/>
        </w:rPr>
        <w:t xml:space="preserve">DLA KOGO?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Studentek i studentów studiów dziennych, wieczorowych lub zaocznych w Polsce lub za granicą (najlepiej od 3. roku studiów, ale nie tylko),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Absolwentek i absolwentów studiów dziennych, wieczorowych lub zaocznych w Polsce lub za granicą do 30. roku życia.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4e4e4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